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0349F">
      <w:pPr>
        <w:spacing w:before="97" w:line="224" w:lineRule="auto"/>
        <w:ind w:left="4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5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3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425887E8">
      <w:pPr>
        <w:pStyle w:val="2"/>
        <w:spacing w:before="43" w:line="260" w:lineRule="auto"/>
        <w:ind w:left="3625" w:right="848" w:hanging="2840"/>
        <w:rPr>
          <w:sz w:val="38"/>
          <w:szCs w:val="38"/>
        </w:rPr>
      </w:pPr>
      <w:r>
        <w:rPr>
          <w:b/>
          <w:bCs/>
          <w:spacing w:val="-4"/>
          <w:sz w:val="38"/>
          <w:szCs w:val="38"/>
        </w:rPr>
        <w:t>第四届上海市青少年生态文明素养交流活动</w:t>
      </w:r>
      <w:r>
        <w:rPr>
          <w:spacing w:val="4"/>
          <w:sz w:val="38"/>
          <w:szCs w:val="38"/>
        </w:rPr>
        <w:t xml:space="preserve"> </w:t>
      </w:r>
      <w:r>
        <w:rPr>
          <w:b/>
          <w:bCs/>
          <w:spacing w:val="-8"/>
          <w:sz w:val="38"/>
          <w:szCs w:val="38"/>
        </w:rPr>
        <w:t>主题参考</w:t>
      </w:r>
      <w:bookmarkEnd w:id="0"/>
    </w:p>
    <w:p w14:paraId="41E4AEFE">
      <w:pPr>
        <w:spacing w:line="292" w:lineRule="auto"/>
        <w:rPr>
          <w:rFonts w:ascii="Arial"/>
          <w:sz w:val="21"/>
        </w:rPr>
      </w:pPr>
    </w:p>
    <w:p w14:paraId="0B76C6C0">
      <w:pPr>
        <w:spacing w:before="95" w:line="222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高校组</w:t>
      </w:r>
    </w:p>
    <w:p w14:paraId="431AF660">
      <w:pPr>
        <w:spacing w:before="37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29"/>
          <w:szCs w:val="29"/>
        </w:rPr>
        <w:t>D1-</w:t>
      </w:r>
      <w:r>
        <w:rPr>
          <w:rFonts w:ascii="仿宋" w:hAnsi="仿宋" w:eastAsia="仿宋" w:cs="仿宋"/>
          <w:b/>
          <w:bCs/>
          <w:spacing w:val="5"/>
          <w:sz w:val="29"/>
          <w:szCs w:val="29"/>
        </w:rPr>
        <w:t>可再生能源和新能源</w:t>
      </w:r>
    </w:p>
    <w:p w14:paraId="11F06D67">
      <w:pPr>
        <w:spacing w:before="102" w:line="274" w:lineRule="auto"/>
        <w:ind w:right="20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探索绿色技术发展与应用，主要包含太阳能、风电、核</w:t>
      </w:r>
      <w:r>
        <w:rPr>
          <w:rFonts w:ascii="仿宋" w:hAnsi="仿宋" w:eastAsia="仿宋" w:cs="仿宋"/>
          <w:spacing w:val="11"/>
          <w:sz w:val="29"/>
          <w:szCs w:val="29"/>
        </w:rPr>
        <w:t>电、地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热、燃煤、储能、电网、绿氢等方面的源头减碳类绿色技术，农业、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工业、建筑、交通、减污降碳协同等方面的过程降碳</w:t>
      </w:r>
      <w:r>
        <w:rPr>
          <w:rFonts w:ascii="仿宋" w:hAnsi="仿宋" w:eastAsia="仿宋" w:cs="仿宋"/>
          <w:spacing w:val="9"/>
          <w:sz w:val="29"/>
          <w:szCs w:val="29"/>
        </w:rPr>
        <w:t>类绿色技术，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0"/>
          <w:sz w:val="29"/>
          <w:szCs w:val="29"/>
        </w:rPr>
        <w:t>以及二氧化碳捕集利用与封存技术、二氧化碳先进高</w:t>
      </w:r>
      <w:r>
        <w:rPr>
          <w:rFonts w:ascii="仿宋" w:hAnsi="仿宋" w:eastAsia="仿宋" w:cs="仿宋"/>
          <w:spacing w:val="9"/>
          <w:sz w:val="29"/>
          <w:szCs w:val="29"/>
        </w:rPr>
        <w:t>效捕集示范、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2"/>
          <w:sz w:val="29"/>
          <w:szCs w:val="29"/>
        </w:rPr>
        <w:t>二氧化碳资源化利用及固碳示范等方面的末端固碳类绿色技术。通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过绿色技术，建设清洁低碳、安全高效的能源体系，提高能源供给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保障能力。</w:t>
      </w:r>
    </w:p>
    <w:p w14:paraId="78D30A1F">
      <w:pPr>
        <w:spacing w:before="61" w:line="274" w:lineRule="auto"/>
        <w:ind w:right="83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交流方向：①可再生能源和新能源现状探究与发展思考；②可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再生能源和新能源开发与利用</w:t>
      </w:r>
    </w:p>
    <w:p w14:paraId="20DC2DF0">
      <w:pPr>
        <w:pStyle w:val="2"/>
        <w:spacing w:before="5" w:line="222" w:lineRule="auto"/>
        <w:ind w:left="4"/>
        <w:rPr>
          <w:rFonts w:ascii="仿宋" w:hAnsi="仿宋" w:eastAsia="仿宋" w:cs="仿宋"/>
          <w:sz w:val="29"/>
          <w:szCs w:val="29"/>
        </w:rPr>
      </w:pPr>
      <w:r>
        <w:rPr>
          <w:b/>
          <w:bCs/>
          <w:spacing w:val="5"/>
          <w:sz w:val="29"/>
          <w:szCs w:val="29"/>
        </w:rPr>
        <w:t>D2-</w:t>
      </w:r>
      <w:r>
        <w:rPr>
          <w:rFonts w:ascii="仿宋" w:hAnsi="仿宋" w:eastAsia="仿宋" w:cs="仿宋"/>
          <w:b/>
          <w:bCs/>
          <w:spacing w:val="5"/>
          <w:sz w:val="29"/>
          <w:szCs w:val="29"/>
        </w:rPr>
        <w:t>碳排放管理</w:t>
      </w:r>
    </w:p>
    <w:p w14:paraId="777CC28B">
      <w:pPr>
        <w:spacing w:before="83" w:line="274" w:lineRule="auto"/>
        <w:ind w:firstLine="61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围绕“双碳”主题，探索碳管理，健全碳排放、碳捕捉、碳普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惠的监测、量化、管理等措施，构建可持续发展的低碳未来。碳排放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控制是做好“双碳”工作的重要基础，需要多途径强化</w:t>
      </w:r>
      <w:r>
        <w:rPr>
          <w:rFonts w:ascii="仿宋" w:hAnsi="仿宋" w:eastAsia="仿宋" w:cs="仿宋"/>
          <w:spacing w:val="10"/>
          <w:sz w:val="29"/>
          <w:szCs w:val="29"/>
        </w:rPr>
        <w:t>能源管理，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2"/>
          <w:sz w:val="29"/>
          <w:szCs w:val="29"/>
        </w:rPr>
        <w:t>多途径优化碳排放资源配置，规范有序控制碳排放。碳捕捉是将工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业生产或能源生产过程中产生的二氧化碳</w:t>
      </w: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CO</w:t>
      </w: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 xml:space="preserve">2)  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分离、收集，并加 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以利用或封存，以减少其排放到大气中的量，可实现从源头减少碳 </w:t>
      </w:r>
      <w:r>
        <w:rPr>
          <w:rFonts w:ascii="仿宋" w:hAnsi="仿宋" w:eastAsia="仿宋" w:cs="仿宋"/>
          <w:spacing w:val="13"/>
          <w:sz w:val="29"/>
          <w:szCs w:val="29"/>
        </w:rPr>
        <w:t>排放。碳普惠是为了鼓励公众的节能减碳行为而建立的正向引导机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制，能够记录和量化公众的低碳行为，通过商业、交易市场和政策 等方式来引导和激励公众形成低碳生产生活方式。从碳排放、碳捕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捉、碳普惠角度健全碳足迹核算体系，为各类减污降碳规范、标准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等提供数据支撑和科学依据，以社会良性互动提升公</w:t>
      </w:r>
      <w:r>
        <w:rPr>
          <w:rFonts w:ascii="仿宋" w:hAnsi="仿宋" w:eastAsia="仿宋" w:cs="仿宋"/>
          <w:spacing w:val="5"/>
          <w:sz w:val="29"/>
          <w:szCs w:val="29"/>
        </w:rPr>
        <w:t>众参与积极性，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助力多领域高质量发展。</w:t>
      </w:r>
    </w:p>
    <w:p w14:paraId="7A5700A2">
      <w:pPr>
        <w:spacing w:before="75" w:line="282" w:lineRule="auto"/>
        <w:ind w:right="64" w:firstLine="619"/>
        <w:rPr>
          <w:rFonts w:ascii="仿宋" w:hAnsi="仿宋" w:eastAsia="仿宋" w:cs="仿宋"/>
          <w:sz w:val="29"/>
          <w:szCs w:val="29"/>
        </w:rPr>
        <w:sectPr>
          <w:footerReference r:id="rId5" w:type="default"/>
          <w:pgSz w:w="11920" w:h="16840"/>
          <w:pgMar w:top="1431" w:right="1355" w:bottom="1930" w:left="1690" w:header="0" w:footer="1476" w:gutter="0"/>
          <w:cols w:space="720" w:num="1"/>
        </w:sectPr>
      </w:pPr>
      <w:r>
        <w:rPr>
          <w:rFonts w:ascii="仿宋" w:hAnsi="仿宋" w:eastAsia="仿宋" w:cs="仿宋"/>
          <w:spacing w:val="13"/>
          <w:sz w:val="29"/>
          <w:szCs w:val="29"/>
        </w:rPr>
        <w:t>交流方向：①碳排放管理技术创新；②碳排放权交易研究；③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碳排放管理公众参与研究</w:t>
      </w:r>
    </w:p>
    <w:p w14:paraId="6D8558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110ED">
    <w:pPr>
      <w:pStyle w:val="2"/>
      <w:spacing w:line="234" w:lineRule="auto"/>
      <w:rPr>
        <w:sz w:val="35"/>
        <w:szCs w:val="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4"/>
      <w:szCs w:val="7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2025-08-06T06:02:37Z</dcterms:created>
  <dc:creator>hp</dc:creator>
  <cp:lastModifiedBy>杨丽丽</cp:lastModifiedBy>
  <dcterms:modified xsi:type="dcterms:W3CDTF">2025-08-06T06:02:53Z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eyJoZGlkIjoiMjc0YmUzOGRjOTE1MjRjYjJiODVkMTc2ODAyNGU4NWYiLCJ1c2VySWQiOiIzODEwNzYyNDEifQ==</vt:lpwstr>
  </property>
  <property fmtid="{D5CDD505-2E9C-101B-9397-08002B2CF9AE}" pid="4" name="ICV">
    <vt:lpwstr>D6027FA041D2499790325F9681271F81_12</vt:lpwstr>
  </property>
</Properties>
</file>